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4C487">
      <w:pPr>
        <w:pStyle w:val="4"/>
        <w:widowControl w:val="0"/>
        <w:spacing w:line="360" w:lineRule="auto"/>
        <w:ind w:firstLine="723" w:firstLineChars="200"/>
        <w:jc w:val="center"/>
        <w:rPr>
          <w:rFonts w:hint="eastAsia" w:ascii="宋体" w:hAnsi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采购需求</w:t>
      </w:r>
    </w:p>
    <w:p w14:paraId="0BA0C9FF">
      <w:pPr>
        <w:pStyle w:val="4"/>
        <w:widowControl w:val="0"/>
        <w:spacing w:line="360" w:lineRule="auto"/>
        <w:jc w:val="left"/>
        <w:rPr>
          <w:rFonts w:hint="default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一、</w:t>
      </w:r>
      <w:r>
        <w:rPr>
          <w:rFonts w:ascii="宋体" w:hAnsi="宋体" w:cs="宋体"/>
          <w:b/>
          <w:sz w:val="21"/>
          <w:szCs w:val="21"/>
        </w:rPr>
        <w:t>原材料质量标准</w:t>
      </w:r>
    </w:p>
    <w:p w14:paraId="26EAC656">
      <w:pPr>
        <w:pStyle w:val="4"/>
        <w:widowControl w:val="0"/>
        <w:spacing w:line="360" w:lineRule="auto"/>
        <w:ind w:firstLine="420" w:firstLineChars="2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所有食材均须符合《中华人民共和国食品安全法》，不得采购转基因食品或利用转基因食品原料加工的成品，食品原料新鲜、清洁卫生。采购带包装的食品时，禁止采购“三无”产品，即无“生产日期、保质期或有效食用截止日期、生产厂家”，三者缺一不可。</w:t>
      </w:r>
    </w:p>
    <w:p w14:paraId="0110E823">
      <w:pPr>
        <w:pStyle w:val="4"/>
        <w:widowControl w:val="0"/>
        <w:spacing w:line="360" w:lineRule="auto"/>
        <w:ind w:firstLine="4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（1）蔬菜类要求：</w:t>
      </w:r>
    </w:p>
    <w:p w14:paraId="728D6B6B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①蔬菜为新鲜蔬菜，质量必须符合国家食品卫生管理规定；</w:t>
      </w:r>
    </w:p>
    <w:p w14:paraId="7C5CB3F7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②农药残留不得超过《食品中农药最大残留限量》（GB2763-2016）国家标准；</w:t>
      </w:r>
    </w:p>
    <w:p w14:paraId="48077190">
      <w:pPr>
        <w:pStyle w:val="4"/>
        <w:widowControl w:val="0"/>
        <w:spacing w:line="360" w:lineRule="auto"/>
        <w:ind w:firstLine="4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（2）肉类要求：</w:t>
      </w:r>
    </w:p>
    <w:p w14:paraId="1DD03B16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①符合GB2707-2016食品安全国家标准。</w:t>
      </w:r>
    </w:p>
    <w:p w14:paraId="08C56B94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②应有卫生检疫部门加盖的卫生检疫合格印章。</w:t>
      </w:r>
    </w:p>
    <w:p w14:paraId="68867702">
      <w:pPr>
        <w:pStyle w:val="4"/>
        <w:widowControl w:val="0"/>
        <w:spacing w:line="360" w:lineRule="auto"/>
        <w:ind w:firstLine="4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（3）蛋类要求：</w:t>
      </w:r>
    </w:p>
    <w:p w14:paraId="63545F73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①鲜蛋应大小均匀，无破裂，蛋体清洁，无斑点，无粪便，无血迹，无污染，蛋型正常，色泽鲜明，蛋白浓厚，蛋黄居中，轮廓明显，胚胎未发育。</w:t>
      </w:r>
    </w:p>
    <w:p w14:paraId="38175FBB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②加工类蛋制品符合国家标准和行业标准。</w:t>
      </w:r>
    </w:p>
    <w:p w14:paraId="03E9A5AD">
      <w:pPr>
        <w:pStyle w:val="4"/>
        <w:widowControl w:val="0"/>
        <w:spacing w:line="360" w:lineRule="auto"/>
        <w:ind w:firstLine="4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（4）水产、冻品类要求：</w:t>
      </w:r>
    </w:p>
    <w:p w14:paraId="51681481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①符合食品安全国家标准：鲜、冻动物性水产品GB2733-2015国家标准。</w:t>
      </w:r>
    </w:p>
    <w:p w14:paraId="63C4547B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②淡水鱼必须鲜活，保持活体状态固有本色，符合食品卫生相关标准及法规要求。</w:t>
      </w:r>
    </w:p>
    <w:p w14:paraId="58BBBCA9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③冷冻品须配冷藏车运输，冻品外包装需完整，无破损，无不封口现象，有生产日期。</w:t>
      </w:r>
    </w:p>
    <w:p w14:paraId="1A7644EF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（5）干货调料类要求：</w:t>
      </w:r>
    </w:p>
    <w:p w14:paraId="0C980B5C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①所有的干货调料必须符合国家卫生标准和质量要求。</w:t>
      </w:r>
    </w:p>
    <w:p w14:paraId="09F9B9EA">
      <w:pPr>
        <w:pStyle w:val="4"/>
        <w:widowControl w:val="0"/>
        <w:spacing w:line="360" w:lineRule="auto"/>
        <w:ind w:firstLine="5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②调料等必须具有“SC”食品生产许可证，外包装无污物、无泄漏，无胀袋或胖听或鼓盖现象，无变质发霉现象。</w:t>
      </w:r>
    </w:p>
    <w:p w14:paraId="606D798B">
      <w:pPr>
        <w:pStyle w:val="4"/>
        <w:widowControl w:val="0"/>
        <w:spacing w:line="360" w:lineRule="auto"/>
        <w:ind w:firstLine="4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（6）米面油、杂粮类要求：</w:t>
      </w:r>
    </w:p>
    <w:p w14:paraId="2D330423">
      <w:pPr>
        <w:pStyle w:val="4"/>
        <w:widowControl w:val="0"/>
        <w:spacing w:line="360" w:lineRule="auto"/>
        <w:ind w:firstLine="4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①无过期产品和临近保质期食品，包装物上的商品名称、厂址、规格、型号、生产日期、质保期等信息与内容物相符，标识清晰，批次号清楚等；</w:t>
      </w:r>
    </w:p>
    <w:p w14:paraId="6D320F29">
      <w:pPr>
        <w:pStyle w:val="4"/>
        <w:widowControl w:val="0"/>
        <w:spacing w:line="360" w:lineRule="auto"/>
        <w:ind w:firstLine="4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②食用油等级：一级非转基因大豆油；食用油必须符合GB/T 1534、GB/T 1535、GB/T 1536、GB/T 40851标准，拥有“SC”食品质量安全认证。</w:t>
      </w:r>
    </w:p>
    <w:p w14:paraId="200F88FA">
      <w:pPr>
        <w:pStyle w:val="4"/>
        <w:widowControl w:val="0"/>
        <w:spacing w:line="360" w:lineRule="auto"/>
        <w:ind w:firstLine="4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③必须符合国家粮食食品标准，须是经食品卫生检验检疫合格的安全卫生标准的；不含有转基因原材料。大米必须符合GB/T 1354标准；高筋面粉达GB/T 8607国家标准；低筋面粉达GB/T 8608国家标准；包装袋上有注册商标及SC标注，有检验合格证、生产日期和保质期。</w:t>
      </w:r>
    </w:p>
    <w:p w14:paraId="67AA97D8">
      <w:pPr>
        <w:pStyle w:val="4"/>
        <w:widowControl w:val="0"/>
        <w:spacing w:line="360" w:lineRule="auto"/>
        <w:ind w:firstLine="210" w:firstLineChars="1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（7）豆制品要求：</w:t>
      </w:r>
    </w:p>
    <w:p w14:paraId="5746D52B">
      <w:pPr>
        <w:pStyle w:val="4"/>
        <w:widowControl w:val="0"/>
        <w:spacing w:line="360" w:lineRule="auto"/>
        <w:ind w:firstLine="210" w:firstLineChars="1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须保证食材干净、不含非食品用化学物质、按统一标准加工、码放整齐、无需二次处理可以直接进行熟加工。豆制品当日时间不得超过保质期的1/3时长；</w:t>
      </w:r>
    </w:p>
    <w:p w14:paraId="157D0C24">
      <w:pPr>
        <w:pStyle w:val="4"/>
        <w:widowControl w:val="0"/>
        <w:spacing w:line="360" w:lineRule="auto"/>
        <w:ind w:firstLine="210" w:firstLineChars="1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（8）面点熟食要求：</w:t>
      </w:r>
    </w:p>
    <w:p w14:paraId="2D712D1F">
      <w:pPr>
        <w:pStyle w:val="4"/>
        <w:widowControl w:val="0"/>
        <w:spacing w:line="360" w:lineRule="auto"/>
        <w:ind w:firstLine="400"/>
        <w:jc w:val="both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面点熟食产品为符合国家规定食品质量安全标准的新鲜食品，产品包装须是符合国家规定标准的环保材料。</w:t>
      </w:r>
    </w:p>
    <w:p w14:paraId="4E69E073">
      <w:pPr>
        <w:pStyle w:val="4"/>
        <w:widowControl w:val="0"/>
        <w:spacing w:line="360" w:lineRule="auto"/>
        <w:ind w:firstLine="210" w:firstLineChars="100"/>
        <w:jc w:val="left"/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（9）其他未明确的原材料采购标准，按采购人要求标准采购。</w:t>
      </w:r>
    </w:p>
    <w:p w14:paraId="3AD0CD62">
      <w:pPr>
        <w:pStyle w:val="4"/>
        <w:widowControl w:val="0"/>
        <w:spacing w:line="360" w:lineRule="auto"/>
        <w:jc w:val="both"/>
        <w:rPr>
          <w:rFonts w:hint="default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ascii="宋体" w:hAnsi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、费用说明</w:t>
      </w:r>
    </w:p>
    <w:p w14:paraId="713AA19F">
      <w:pPr>
        <w:pStyle w:val="4"/>
        <w:widowControl w:val="0"/>
        <w:spacing w:line="360" w:lineRule="auto"/>
        <w:ind w:firstLine="420" w:firstLineChars="200"/>
        <w:jc w:val="both"/>
        <w:rPr>
          <w:rFonts w:hint="default" w:ascii="宋体" w:hAnsi="宋体" w:cs="宋体"/>
          <w:color w:val="auto"/>
          <w:sz w:val="21"/>
          <w:szCs w:val="21"/>
        </w:rPr>
      </w:pPr>
      <w:r>
        <w:rPr>
          <w:rFonts w:ascii="宋体" w:hAnsi="宋体" w:cs="宋体"/>
          <w:color w:val="auto"/>
          <w:sz w:val="21"/>
          <w:szCs w:val="21"/>
        </w:rPr>
        <w:t>（一）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本项目</w:t>
      </w:r>
      <w:r>
        <w:rPr>
          <w:rFonts w:ascii="宋体" w:hAnsi="宋体" w:cs="宋体"/>
          <w:color w:val="auto"/>
          <w:sz w:val="21"/>
          <w:szCs w:val="21"/>
        </w:rPr>
        <w:t>服务费用主要由食材采购费用及劳务费用构成，均由供应商承担。</w:t>
      </w:r>
    </w:p>
    <w:p w14:paraId="76537559">
      <w:pPr>
        <w:pStyle w:val="4"/>
        <w:widowControl w:val="0"/>
        <w:spacing w:line="360" w:lineRule="auto"/>
        <w:ind w:firstLine="420"/>
        <w:jc w:val="both"/>
        <w:rPr>
          <w:rFonts w:hint="default" w:ascii="宋体" w:hAnsi="宋体" w:cs="宋体"/>
          <w:color w:val="auto"/>
          <w:sz w:val="21"/>
          <w:szCs w:val="21"/>
        </w:rPr>
      </w:pPr>
      <w:r>
        <w:rPr>
          <w:rFonts w:ascii="宋体" w:hAnsi="宋体" w:cs="宋体"/>
          <w:color w:val="auto"/>
          <w:sz w:val="21"/>
          <w:szCs w:val="21"/>
        </w:rPr>
        <w:t>（二）供应商应每天保证采购人164名正式干警或省聘书记员在食堂就餐，采购人方可足额支付食材采购费用。未达到人数要求，扣减相应费用。</w:t>
      </w:r>
    </w:p>
    <w:p w14:paraId="01427D4F">
      <w:pPr>
        <w:pStyle w:val="4"/>
        <w:widowControl w:val="0"/>
        <w:spacing w:line="360" w:lineRule="auto"/>
        <w:ind w:firstLine="420"/>
        <w:jc w:val="both"/>
        <w:rPr>
          <w:rFonts w:hint="default" w:ascii="宋体" w:hAnsi="宋体" w:cs="宋体"/>
          <w:color w:val="auto"/>
          <w:sz w:val="21"/>
          <w:szCs w:val="21"/>
        </w:rPr>
      </w:pPr>
      <w:r>
        <w:rPr>
          <w:rFonts w:ascii="宋体" w:hAnsi="宋体" w:cs="宋体"/>
          <w:color w:val="auto"/>
          <w:sz w:val="21"/>
          <w:szCs w:val="21"/>
        </w:rPr>
        <w:t>（三）其他需说明费用</w:t>
      </w:r>
    </w:p>
    <w:p w14:paraId="66DFA730">
      <w:pPr>
        <w:pStyle w:val="4"/>
        <w:widowControl w:val="0"/>
        <w:spacing w:line="360" w:lineRule="auto"/>
        <w:ind w:firstLine="420"/>
        <w:jc w:val="both"/>
        <w:rPr>
          <w:rFonts w:hint="default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1.保障供餐的基础设备及餐具初次由采购人配齐，餐厅桌椅维修、灯光照明设备维修费</w:t>
      </w:r>
      <w:bookmarkStart w:id="0" w:name="_GoBack"/>
      <w:bookmarkEnd w:id="0"/>
      <w:r>
        <w:rPr>
          <w:rFonts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用由采购人承担。</w:t>
      </w:r>
    </w:p>
    <w:p w14:paraId="4426F717">
      <w:pPr>
        <w:pStyle w:val="4"/>
        <w:widowControl w:val="0"/>
        <w:spacing w:line="360" w:lineRule="auto"/>
        <w:ind w:firstLine="420"/>
        <w:jc w:val="both"/>
        <w:rPr>
          <w:rFonts w:hint="default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2.餐厅工作人员业务培训费用由供应商承担。</w:t>
      </w:r>
    </w:p>
    <w:p w14:paraId="121990B7">
      <w:pPr>
        <w:pStyle w:val="4"/>
        <w:widowControl w:val="0"/>
        <w:spacing w:line="360" w:lineRule="auto"/>
        <w:ind w:firstLine="420"/>
        <w:jc w:val="both"/>
        <w:rPr>
          <w:rFonts w:hint="default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3.其他费用由供应商承担，均摊到劳务费用和原材料采购费用中。</w:t>
      </w:r>
    </w:p>
    <w:p w14:paraId="718873CC">
      <w:pPr>
        <w:pStyle w:val="4"/>
        <w:widowControl w:val="0"/>
        <w:spacing w:line="360" w:lineRule="auto"/>
        <w:jc w:val="both"/>
        <w:rPr>
          <w:rFonts w:hint="default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三</w:t>
      </w:r>
      <w:r>
        <w:rPr>
          <w:rFonts w:ascii="宋体" w:hAnsi="宋体" w:cs="宋体"/>
          <w:b/>
          <w:bCs/>
          <w:color w:val="000000"/>
          <w:sz w:val="21"/>
          <w:szCs w:val="21"/>
        </w:rPr>
        <w:t>、服务、产品（如有）执行的标准、规范：</w:t>
      </w:r>
    </w:p>
    <w:p w14:paraId="7F78DD73">
      <w:pPr>
        <w:pStyle w:val="4"/>
        <w:widowControl w:val="0"/>
        <w:spacing w:line="360" w:lineRule="auto"/>
        <w:ind w:firstLine="350"/>
        <w:jc w:val="both"/>
        <w:rPr>
          <w:rFonts w:hint="default"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（1）国家标准、规范/；</w:t>
      </w:r>
    </w:p>
    <w:p w14:paraId="7C5BEB18">
      <w:pPr>
        <w:pStyle w:val="4"/>
        <w:widowControl w:val="0"/>
        <w:spacing w:line="360" w:lineRule="auto"/>
        <w:ind w:firstLine="350"/>
        <w:jc w:val="both"/>
        <w:rPr>
          <w:rFonts w:hint="default"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（2）行业标准、规范/；</w:t>
      </w:r>
    </w:p>
    <w:p w14:paraId="0BE94E6C">
      <w:pPr>
        <w:pStyle w:val="4"/>
        <w:widowControl w:val="0"/>
        <w:spacing w:line="360" w:lineRule="auto"/>
        <w:ind w:firstLine="350"/>
        <w:jc w:val="both"/>
        <w:rPr>
          <w:rFonts w:hint="default"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（3）地方标准、规范/；</w:t>
      </w:r>
    </w:p>
    <w:p w14:paraId="3370E760">
      <w:pPr>
        <w:pStyle w:val="4"/>
        <w:widowControl w:val="0"/>
        <w:spacing w:line="360" w:lineRule="auto"/>
        <w:ind w:firstLine="350"/>
        <w:jc w:val="both"/>
        <w:rPr>
          <w:rFonts w:hint="default"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（4）团体标准、规范/；</w:t>
      </w:r>
    </w:p>
    <w:p w14:paraId="7C772B38">
      <w:pPr>
        <w:pStyle w:val="4"/>
        <w:widowControl w:val="0"/>
        <w:spacing w:line="360" w:lineRule="auto"/>
        <w:ind w:firstLine="350"/>
        <w:jc w:val="both"/>
        <w:rPr>
          <w:rFonts w:hint="default"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（5）企业标准、规范/。</w:t>
      </w:r>
    </w:p>
    <w:p w14:paraId="2F352AB3">
      <w:pPr>
        <w:pStyle w:val="4"/>
        <w:widowControl w:val="0"/>
        <w:spacing w:line="360" w:lineRule="auto"/>
        <w:jc w:val="both"/>
        <w:rPr>
          <w:rFonts w:hint="default" w:ascii="宋体" w:hAnsi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四、</w:t>
      </w:r>
      <w:r>
        <w:rPr>
          <w:rFonts w:ascii="宋体" w:hAnsi="宋体" w:cs="宋体"/>
          <w:b/>
          <w:bCs/>
          <w:color w:val="000000"/>
          <w:sz w:val="21"/>
          <w:szCs w:val="21"/>
        </w:rPr>
        <w:t>本章第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三</w:t>
      </w:r>
      <w:r>
        <w:rPr>
          <w:rFonts w:ascii="宋体" w:hAnsi="宋体" w:cs="宋体"/>
          <w:b/>
          <w:bCs/>
          <w:color w:val="000000"/>
          <w:sz w:val="21"/>
          <w:szCs w:val="21"/>
        </w:rPr>
        <w:t>条款未明确服务（产品）执行标准、规范的，按下列方法进行选择：</w:t>
      </w:r>
    </w:p>
    <w:p w14:paraId="23C6223C">
      <w:pPr>
        <w:pStyle w:val="4"/>
        <w:widowControl w:val="0"/>
        <w:spacing w:line="360" w:lineRule="auto"/>
        <w:ind w:firstLine="350"/>
        <w:jc w:val="both"/>
        <w:rPr>
          <w:rFonts w:hint="default"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□顺序执行： 国家标准→行业标准→地方标准→ 团体标准→企业 标 准（有国家标准按国家标准执行，没有国家标准按行业标准， 以此类推）；</w:t>
      </w:r>
    </w:p>
    <w:p w14:paraId="659B45C6">
      <w:pPr>
        <w:pStyle w:val="4"/>
        <w:widowControl w:val="0"/>
        <w:spacing w:line="360" w:lineRule="auto"/>
        <w:ind w:firstLine="350"/>
        <w:jc w:val="both"/>
        <w:rPr>
          <w:rFonts w:hint="default"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□最高标准执行：国家标准，行业标准，地方标准，团体标准，企业标准（哪个标准高执行哪个标准）</w:t>
      </w:r>
    </w:p>
    <w:p w14:paraId="6E4089BC">
      <w:pPr>
        <w:ind w:firstLine="420" w:firstLineChars="200"/>
      </w:pPr>
      <w:r>
        <w:rPr>
          <w:rFonts w:ascii="宋体" w:hAnsi="宋体" w:cs="宋体"/>
          <w:color w:val="000000"/>
          <w:sz w:val="21"/>
          <w:szCs w:val="21"/>
        </w:rPr>
        <w:t>☑必须执行：国家（行业）强制性标准。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7A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2026-06-05T13:06:57Z</dcterms:created>
  <dc:creator>LX</dc:creator>
  <cp:lastModifiedBy>Lenovo</cp:lastModifiedBy>
  <dcterms:modified xsi:type="dcterms:W3CDTF">2026-06-05T14:30:07Z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eyJoZGlkIjoiZjFhMjllM2U1MDBhZGU3NjVlNmFlNWU2YjFmZTUwZDQiLCJ1c2VySWQiOiI0NDgyMTE1NDUifQ==</vt:lpwstr>
  </property>
  <property fmtid="{D5CDD505-2E9C-101B-9397-08002B2CF9AE}" pid="4" name="ICV">
    <vt:lpwstr>B809719685C24A2B89E481644BD1FC79_12</vt:lpwstr>
  </property>
</Properties>
</file>